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宋体" w:eastAsia="黑体" w:cs="黑体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b/>
          <w:color w:val="000000"/>
          <w:kern w:val="0"/>
          <w:sz w:val="32"/>
          <w:szCs w:val="32"/>
          <w:lang w:bidi="ar"/>
        </w:rPr>
        <w:t>首届合肥工业</w:t>
      </w:r>
      <w:r>
        <w:rPr>
          <w:rFonts w:ascii="黑体" w:hAnsi="宋体" w:eastAsia="黑体" w:cs="黑体"/>
          <w:b/>
          <w:color w:val="000000"/>
          <w:kern w:val="0"/>
          <w:sz w:val="32"/>
          <w:szCs w:val="32"/>
          <w:lang w:bidi="ar"/>
        </w:rPr>
        <w:t>大学</w:t>
      </w:r>
      <w:r>
        <w:rPr>
          <w:rFonts w:hint="eastAsia" w:ascii="黑体" w:hAnsi="宋体" w:eastAsia="黑体" w:cs="黑体"/>
          <w:b/>
          <w:color w:val="000000"/>
          <w:kern w:val="0"/>
          <w:sz w:val="32"/>
          <w:szCs w:val="32"/>
          <w:lang w:bidi="ar"/>
        </w:rPr>
        <w:t>金融</w:t>
      </w:r>
      <w:r>
        <w:rPr>
          <w:rFonts w:ascii="黑体" w:hAnsi="宋体" w:eastAsia="黑体" w:cs="黑体"/>
          <w:b/>
          <w:color w:val="000000"/>
          <w:kern w:val="0"/>
          <w:sz w:val="32"/>
          <w:szCs w:val="32"/>
          <w:lang w:bidi="ar"/>
        </w:rPr>
        <w:t>案例</w:t>
      </w:r>
      <w:r>
        <w:rPr>
          <w:rFonts w:hint="eastAsia" w:ascii="黑体" w:hAnsi="宋体" w:eastAsia="黑体" w:cs="黑体"/>
          <w:b/>
          <w:color w:val="000000"/>
          <w:kern w:val="0"/>
          <w:sz w:val="32"/>
          <w:szCs w:val="32"/>
          <w:lang w:bidi="ar"/>
        </w:rPr>
        <w:t>分析</w:t>
      </w:r>
      <w:r>
        <w:rPr>
          <w:rFonts w:ascii="黑体" w:hAnsi="宋体" w:eastAsia="黑体" w:cs="黑体"/>
          <w:b/>
          <w:color w:val="000000"/>
          <w:kern w:val="0"/>
          <w:sz w:val="32"/>
          <w:szCs w:val="32"/>
          <w:lang w:bidi="ar"/>
        </w:rPr>
        <w:t xml:space="preserve">大赛指导手册 </w:t>
      </w:r>
    </w:p>
    <w:p>
      <w:pPr>
        <w:spacing w:line="480" w:lineRule="auto"/>
        <w:jc w:val="center"/>
        <w:rPr>
          <w:rFonts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cs="Times New Roman"/>
          <w:b/>
          <w:color w:val="000000"/>
          <w:kern w:val="0"/>
          <w:sz w:val="28"/>
          <w:szCs w:val="28"/>
          <w:lang w:bidi="ar"/>
        </w:rPr>
        <w:t>20</w:t>
      </w:r>
      <w:r>
        <w:rPr>
          <w:rFonts w:hint="eastAsia" w:cs="Times New Roman"/>
          <w:b/>
          <w:color w:val="000000"/>
          <w:kern w:val="0"/>
          <w:sz w:val="28"/>
          <w:szCs w:val="28"/>
          <w:lang w:val="en-US" w:eastAsia="zh-CN" w:bidi="ar"/>
        </w:rPr>
        <w:t>21</w:t>
      </w:r>
      <w:r>
        <w:rPr>
          <w:rFonts w:cs="Times New Roman"/>
          <w:b/>
          <w:color w:val="000000"/>
          <w:kern w:val="0"/>
          <w:sz w:val="28"/>
          <w:szCs w:val="28"/>
          <w:lang w:bidi="ar"/>
        </w:rPr>
        <w:t xml:space="preserve"> 年 </w:t>
      </w:r>
      <w:r>
        <w:rPr>
          <w:rFonts w:hint="eastAsia" w:cs="Times New Roman"/>
          <w:b/>
          <w:color w:val="000000"/>
          <w:kern w:val="0"/>
          <w:sz w:val="28"/>
          <w:szCs w:val="28"/>
          <w:lang w:val="en-US" w:eastAsia="zh-CN" w:bidi="ar"/>
        </w:rPr>
        <w:t>12</w:t>
      </w:r>
      <w:r>
        <w:rPr>
          <w:rFonts w:cs="Times New Roman"/>
          <w:b/>
          <w:color w:val="000000"/>
          <w:kern w:val="0"/>
          <w:sz w:val="28"/>
          <w:szCs w:val="28"/>
          <w:lang w:bidi="ar"/>
        </w:rPr>
        <w:t>月</w:t>
      </w:r>
      <w:r>
        <w:rPr>
          <w:rFonts w:hint="eastAsia" w:cs="Times New Roman"/>
          <w:b/>
          <w:color w:val="000000"/>
          <w:kern w:val="0"/>
          <w:sz w:val="28"/>
          <w:szCs w:val="28"/>
          <w:lang w:val="en-US" w:eastAsia="zh-CN" w:bidi="ar"/>
        </w:rPr>
        <w:t>14</w:t>
      </w:r>
      <w:r>
        <w:rPr>
          <w:rFonts w:hint="eastAsia" w:cs="Times New Roman"/>
          <w:b/>
          <w:color w:val="000000"/>
          <w:kern w:val="0"/>
          <w:sz w:val="28"/>
          <w:szCs w:val="28"/>
          <w:lang w:bidi="ar"/>
        </w:rPr>
        <w:t>号</w:t>
      </w:r>
    </w:p>
    <w:p>
      <w:pPr>
        <w:spacing w:line="48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  <w:lang w:bidi="ar"/>
        </w:rPr>
        <w:t xml:space="preserve">一、大赛简介 </w:t>
      </w:r>
    </w:p>
    <w:p>
      <w:pPr>
        <w:ind w:firstLine="480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合肥工业大学金融案例分析大赛是由合肥工业大学研究生院主办、合肥工业大学经济学院承办、面向合肥工业大学所有全日制和非全日制研究生的案例分析大赛。</w:t>
      </w:r>
    </w:p>
    <w:p>
      <w:pPr>
        <w:ind w:firstLine="480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合肥工业大学金融案例分析大赛</w:t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t>秉承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合肥工业大学 “厚德、笃学、崇实、尚新”的办学使命，践行坚持创新和追求</w:t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t>卓越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的理念，强调“贴近实际、学以致用”，为有强烈社会责任感的学生提供思想交流和互相学习的平台，还为有志于从事金融分析、企业管理等方向的优秀大学生提供实践的机会。</w:t>
      </w:r>
    </w:p>
    <w:p>
      <w:pPr>
        <w:spacing w:line="480" w:lineRule="auto"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  <w:lang w:bidi="ar"/>
        </w:rPr>
        <w:t xml:space="preserve">二、组织机构 </w:t>
      </w:r>
    </w:p>
    <w:p>
      <w:pPr>
        <w:ind w:firstLine="480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微软雅黑" w:hAnsi="微软雅黑" w:eastAsia="微软雅黑"/>
          <w:b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 xml:space="preserve"> 主办单位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 xml:space="preserve">: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合肥工业大学研究生院</w:t>
      </w:r>
    </w:p>
    <w:p>
      <w:pPr>
        <w:ind w:firstLine="480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 xml:space="preserve"> 承办单位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: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 xml:space="preserve"> 合肥工业大学经济学院</w:t>
      </w:r>
    </w:p>
    <w:p>
      <w:pPr>
        <w:spacing w:line="48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bidi="ar"/>
        </w:rPr>
        <w:t>三、大赛章程</w:t>
      </w:r>
    </w:p>
    <w:p>
      <w:pPr>
        <w:ind w:firstLine="480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. 本届案例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分析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大赛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的参赛方式包括团体和个人，其中团体参赛的每支团队应由2-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5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人组成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，并推选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 xml:space="preserve">人任队长。 </w:t>
      </w:r>
    </w:p>
    <w:p>
      <w:pPr>
        <w:ind w:firstLine="480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2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.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报名条件为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合肥工业大学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正式注册的在读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全体研究生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 xml:space="preserve">，年级与专业均无限制。 </w:t>
      </w:r>
    </w:p>
    <w:p>
      <w:pPr>
        <w:ind w:firstLine="480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3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. 大赛重点考察参赛选手金融和管理等专业理论与实践相结合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的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能力、案例分析能力和团队合作能力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等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 xml:space="preserve">综合素质。 </w:t>
      </w:r>
    </w:p>
    <w:p>
      <w:pPr>
        <w:ind w:firstLine="480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4. 本届大赛分初赛和决赛两个阶段。参赛选手须在规定时间内完成参赛团队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或个人报名、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 xml:space="preserve">案例发掘、案例分析并提交案例分析报告。 </w:t>
      </w:r>
    </w:p>
    <w:p>
      <w:pPr>
        <w:ind w:firstLine="480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5. 初赛案例分析报告提交后，大赛组委会将组织专家评委对参赛案例分析报告进行匿名评审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，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筛选出得分最高的参赛团队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或个人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晋级决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赛（12支参赛团队）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 xml:space="preserve">。 </w:t>
      </w:r>
    </w:p>
    <w:p>
      <w:pPr>
        <w:ind w:firstLine="480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6. 决赛以现场公开答辩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的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形式举行，评委根据决赛团队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或个人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的案例分析质量和现场表现打分，评选出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一等奖2名，二等奖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名，三等奖5名。</w:t>
      </w:r>
    </w:p>
    <w:p>
      <w:pPr>
        <w:spacing w:line="48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bidi="ar"/>
        </w:rPr>
        <w:t>四、大赛流程</w:t>
      </w:r>
    </w:p>
    <w:p>
      <w:pPr>
        <w:ind w:firstLine="480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大赛分两个阶段进行，初赛提交和评审阶段持续10～15天，由选手在线上自行提交案例报告; 决赛阶段将在随后的一星期内进行，以现场公开答辩形式举行。</w:t>
      </w:r>
    </w:p>
    <w:p>
      <w:pPr>
        <w:ind w:firstLine="480"/>
        <w:rPr>
          <w:rFonts w:ascii="宋体" w:hAnsi="宋体" w:cs="宋体"/>
          <w:b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bidi="ar"/>
        </w:rPr>
        <w:t>第一阶段 初赛</w:t>
      </w:r>
    </w:p>
    <w:p>
      <w:pPr>
        <w:ind w:firstLine="480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选手将报名表（见附件三）和案例分析报告（格式要求详见附件二）电子版一并发送至邮箱</w:t>
      </w:r>
      <w:r>
        <w:rPr>
          <w:b/>
          <w:bCs/>
        </w:rPr>
        <w:t>hfut2019_</w:t>
      </w:r>
      <w:r>
        <w:rPr>
          <w:rFonts w:hint="eastAsia"/>
          <w:b/>
          <w:bCs/>
        </w:rPr>
        <w:t>jj</w:t>
      </w:r>
      <w:r>
        <w:rPr>
          <w:b/>
          <w:bCs/>
        </w:rPr>
        <w:t>mf@126.com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。</w:t>
      </w:r>
    </w:p>
    <w:p>
      <w:pPr>
        <w:jc w:val="center"/>
      </w:pPr>
      <w:r>
        <w:rPr>
          <w:rFonts w:hint="eastAsia"/>
        </w:rPr>
        <w:t>初赛日程安排</w:t>
      </w:r>
    </w:p>
    <w:tbl>
      <w:tblPr>
        <w:tblStyle w:val="9"/>
        <w:tblpPr w:leftFromText="180" w:rightFromText="180" w:vertAnchor="text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4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5A5A5" w:themeFill="accent3"/>
          </w:tcPr>
          <w:p>
            <w:pPr>
              <w:spacing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时间</w:t>
            </w:r>
          </w:p>
        </w:tc>
        <w:tc>
          <w:tcPr>
            <w:tcW w:w="4332" w:type="dxa"/>
            <w:tcBorders>
              <w:top w:val="single" w:color="auto" w:sz="12" w:space="0"/>
              <w:bottom w:val="single" w:color="auto" w:sz="12" w:space="0"/>
              <w:right w:val="nil"/>
            </w:tcBorders>
            <w:shd w:val="clear" w:color="auto" w:fill="A5A5A5" w:themeFill="accent3"/>
          </w:tcPr>
          <w:p>
            <w:pPr>
              <w:spacing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大赛进程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>
              <w:rPr>
                <w:rFonts w:hint="eastAsia"/>
                <w:b/>
                <w:bCs/>
                <w:lang w:val="en-US" w:eastAsia="zh-CN"/>
              </w:rPr>
              <w:t>21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  <w:lang w:val="en-US" w:eastAsia="zh-CN"/>
              </w:rPr>
              <w:t>12</w:t>
            </w:r>
            <w:r>
              <w:rPr>
                <w:rFonts w:hint="eastAsia"/>
                <w:b/>
                <w:bCs/>
              </w:rPr>
              <w:t xml:space="preserve">月 </w:t>
            </w:r>
            <w:r>
              <w:rPr>
                <w:rFonts w:hint="eastAsia"/>
                <w:b/>
                <w:bCs/>
                <w:lang w:val="en-US" w:eastAsia="zh-CN"/>
              </w:rPr>
              <w:t>14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日至1</w:t>
            </w:r>
            <w:r>
              <w:rPr>
                <w:rFonts w:hint="eastAsia"/>
                <w:b/>
                <w:bCs/>
                <w:lang w:val="en-US" w:eastAsia="zh-CN"/>
              </w:rPr>
              <w:t>2</w:t>
            </w:r>
            <w:r>
              <w:rPr>
                <w:rFonts w:hint="eastAsia"/>
                <w:b/>
                <w:bCs/>
              </w:rPr>
              <w:t>月1</w:t>
            </w:r>
            <w:r>
              <w:rPr>
                <w:rFonts w:hint="eastAsia"/>
                <w:b/>
                <w:bCs/>
                <w:lang w:val="en-US" w:eastAsia="zh-CN"/>
              </w:rPr>
              <w:t>8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332" w:type="dxa"/>
            <w:tcBorders>
              <w:top w:val="single" w:color="auto" w:sz="12" w:space="0"/>
              <w:bottom w:val="nil"/>
              <w:right w:val="nil"/>
            </w:tcBorders>
          </w:tcPr>
          <w:p>
            <w:pPr>
              <w:spacing w:line="240" w:lineRule="auto"/>
            </w:pPr>
            <w:r>
              <w:rPr>
                <w:rFonts w:hint="eastAsia"/>
              </w:rPr>
              <w:t>邀请知名企业管理者分享相关企业案例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tcBorders>
              <w:left w:val="nil"/>
              <w:right w:val="nil"/>
            </w:tcBorders>
            <w:shd w:val="clear" w:color="auto" w:fill="FFFFFF" w:themeFill="background1"/>
          </w:tcPr>
          <w:p>
            <w:pPr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>
              <w:rPr>
                <w:rFonts w:hint="eastAsia"/>
                <w:b/>
                <w:bCs/>
                <w:lang w:val="en-US" w:eastAsia="zh-CN"/>
              </w:rPr>
              <w:t>21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  <w:lang w:val="en-US" w:eastAsia="zh-CN"/>
              </w:rPr>
              <w:t>12</w:t>
            </w:r>
            <w:r>
              <w:rPr>
                <w:rFonts w:hint="eastAsia"/>
                <w:b/>
                <w:bCs/>
              </w:rPr>
              <w:t xml:space="preserve">月 </w:t>
            </w:r>
            <w:r>
              <w:rPr>
                <w:rFonts w:hint="eastAsia"/>
                <w:b/>
                <w:bCs/>
                <w:lang w:val="en-US" w:eastAsia="zh-CN"/>
              </w:rPr>
              <w:t>14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日至1</w:t>
            </w:r>
            <w:r>
              <w:rPr>
                <w:rFonts w:hint="eastAsia"/>
                <w:b/>
                <w:bCs/>
                <w:lang w:val="en-US" w:eastAsia="zh-CN"/>
              </w:rPr>
              <w:t>2</w:t>
            </w:r>
            <w:r>
              <w:rPr>
                <w:rFonts w:hint="eastAsia"/>
                <w:b/>
                <w:bCs/>
              </w:rPr>
              <w:t>月1</w:t>
            </w:r>
            <w:r>
              <w:rPr>
                <w:rFonts w:hint="eastAsia"/>
                <w:b/>
                <w:bCs/>
                <w:lang w:val="en-US" w:eastAsia="zh-CN"/>
              </w:rPr>
              <w:t>8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332" w:type="dxa"/>
            <w:tcBorders>
              <w:right w:val="nil"/>
            </w:tcBorders>
          </w:tcPr>
          <w:p>
            <w:pPr>
              <w:spacing w:line="240" w:lineRule="auto"/>
            </w:pPr>
            <w:r>
              <w:rPr>
                <w:rFonts w:hint="eastAsia"/>
              </w:rPr>
              <w:t>邀请经验丰富老师讲解案例写作技巧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tcBorders>
              <w:top w:val="single" w:color="A5A5A5" w:themeColor="accent3" w:sz="4" w:space="0"/>
              <w:left w:val="nil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FFFFFF" w:themeFill="background1"/>
          </w:tcPr>
          <w:p>
            <w:pPr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>
              <w:rPr>
                <w:rFonts w:hint="eastAsia"/>
                <w:b/>
                <w:bCs/>
                <w:lang w:val="en-US" w:eastAsia="zh-CN"/>
              </w:rPr>
              <w:t>21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  <w:lang w:val="en-US" w:eastAsia="zh-CN"/>
              </w:rPr>
              <w:t>12</w:t>
            </w:r>
            <w:r>
              <w:rPr>
                <w:rFonts w:hint="eastAsia"/>
                <w:b/>
                <w:bCs/>
              </w:rPr>
              <w:t xml:space="preserve">月 </w:t>
            </w:r>
            <w:r>
              <w:rPr>
                <w:rFonts w:hint="eastAsia"/>
                <w:b/>
                <w:bCs/>
                <w:lang w:val="en-US" w:eastAsia="zh-CN"/>
              </w:rPr>
              <w:t>14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日至1</w:t>
            </w:r>
            <w:r>
              <w:rPr>
                <w:rFonts w:hint="eastAsia"/>
                <w:b/>
                <w:bCs/>
                <w:lang w:val="en-US" w:eastAsia="zh-CN"/>
              </w:rPr>
              <w:t>2</w:t>
            </w:r>
            <w:r>
              <w:rPr>
                <w:rFonts w:hint="eastAsia"/>
                <w:b/>
                <w:bCs/>
              </w:rPr>
              <w:t>月1</w:t>
            </w:r>
            <w:r>
              <w:rPr>
                <w:rFonts w:hint="eastAsia"/>
                <w:b/>
                <w:bCs/>
                <w:lang w:val="en-US" w:eastAsia="zh-CN"/>
              </w:rPr>
              <w:t>8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332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</w:tcBorders>
          </w:tcPr>
          <w:p>
            <w:pPr>
              <w:spacing w:line="240" w:lineRule="auto"/>
            </w:pPr>
            <w:r>
              <w:rPr>
                <w:rFonts w:hint="eastAsia"/>
              </w:rPr>
              <w:t>邀请学长学姐分享优秀案例写作经验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tcBorders>
              <w:left w:val="nil"/>
              <w:right w:val="nil"/>
            </w:tcBorders>
            <w:shd w:val="clear" w:color="auto" w:fill="FFFFFF" w:themeFill="background1"/>
          </w:tcPr>
          <w:p>
            <w:pPr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  <w:lang w:val="en-US" w:eastAsia="zh-CN"/>
              </w:rPr>
              <w:t>21</w:t>
            </w:r>
            <w:r>
              <w:rPr>
                <w:rFonts w:hint="eastAsia"/>
                <w:b/>
                <w:bCs/>
              </w:rPr>
              <w:t>年1</w:t>
            </w:r>
            <w:r>
              <w:rPr>
                <w:rFonts w:hint="eastAsia"/>
                <w:b/>
                <w:bCs/>
                <w:lang w:val="en-US" w:eastAsia="zh-CN"/>
              </w:rPr>
              <w:t>2</w:t>
            </w:r>
            <w:r>
              <w:rPr>
                <w:rFonts w:hint="eastAsia"/>
                <w:b/>
                <w:bCs/>
              </w:rPr>
              <w:t>月1</w:t>
            </w:r>
            <w:r>
              <w:rPr>
                <w:rFonts w:hint="eastAsia"/>
                <w:b/>
                <w:bCs/>
                <w:lang w:val="en-US" w:eastAsia="zh-CN"/>
              </w:rPr>
              <w:t>9</w:t>
            </w:r>
            <w:r>
              <w:rPr>
                <w:rFonts w:hint="eastAsia"/>
                <w:b/>
                <w:bCs/>
              </w:rPr>
              <w:t>日至</w:t>
            </w:r>
            <w:r>
              <w:rPr>
                <w:rFonts w:hint="eastAsia"/>
                <w:b/>
                <w:bCs/>
                <w:lang w:val="en-US" w:eastAsia="zh-CN"/>
              </w:rPr>
              <w:t>12</w:t>
            </w:r>
            <w:r>
              <w:rPr>
                <w:rFonts w:hint="eastAsia"/>
                <w:b/>
                <w:bCs/>
              </w:rPr>
              <w:t>月2</w:t>
            </w:r>
            <w:r>
              <w:rPr>
                <w:rFonts w:hint="eastAsia"/>
                <w:b/>
                <w:bCs/>
                <w:lang w:val="en-US" w:eastAsia="zh-CN"/>
              </w:rPr>
              <w:t>3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332" w:type="dxa"/>
            <w:tcBorders>
              <w:right w:val="nil"/>
            </w:tcBorders>
          </w:tcPr>
          <w:p>
            <w:pPr>
              <w:spacing w:line="240" w:lineRule="auto"/>
            </w:pPr>
            <w:r>
              <w:rPr>
                <w:rFonts w:hint="eastAsia"/>
              </w:rPr>
              <w:t>线上报名并提交初赛案例分析报告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tcBorders>
              <w:top w:val="single" w:color="A5A5A5" w:themeColor="accent3" w:sz="4" w:space="0"/>
              <w:left w:val="nil"/>
              <w:bottom w:val="single" w:color="A5A5A5" w:themeColor="accent3" w:sz="4" w:space="0"/>
              <w:right w:val="nil"/>
              <w:insideH w:val="single" w:sz="4" w:space="0"/>
            </w:tcBorders>
            <w:shd w:val="clear" w:color="auto" w:fill="FFFFFF" w:themeFill="background1"/>
          </w:tcPr>
          <w:p>
            <w:pPr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  <w:lang w:val="en-US" w:eastAsia="zh-CN"/>
              </w:rPr>
              <w:t>21</w:t>
            </w:r>
            <w:r>
              <w:rPr>
                <w:rFonts w:hint="eastAsia"/>
                <w:b/>
                <w:bCs/>
              </w:rPr>
              <w:t>年1</w:t>
            </w:r>
            <w:r>
              <w:rPr>
                <w:rFonts w:hint="eastAsia"/>
                <w:b/>
                <w:bCs/>
                <w:lang w:val="en-US" w:eastAsia="zh-CN"/>
              </w:rPr>
              <w:t>2</w:t>
            </w:r>
            <w:r>
              <w:rPr>
                <w:rFonts w:hint="eastAsia"/>
                <w:b/>
                <w:bCs/>
              </w:rPr>
              <w:t>月2</w:t>
            </w:r>
            <w:r>
              <w:rPr>
                <w:rFonts w:hint="eastAsia"/>
                <w:b/>
                <w:bCs/>
                <w:lang w:val="en-US" w:eastAsia="zh-CN"/>
              </w:rPr>
              <w:t>3</w:t>
            </w:r>
            <w:r>
              <w:rPr>
                <w:rFonts w:hint="eastAsia"/>
                <w:b/>
                <w:bCs/>
              </w:rPr>
              <w:t>日至</w:t>
            </w:r>
            <w:r>
              <w:rPr>
                <w:rFonts w:hint="eastAsia"/>
                <w:b/>
                <w:bCs/>
                <w:lang w:val="en-US" w:eastAsia="zh-CN"/>
              </w:rPr>
              <w:t>12</w:t>
            </w:r>
            <w:r>
              <w:rPr>
                <w:rFonts w:hint="eastAsia"/>
                <w:b/>
                <w:bCs/>
              </w:rPr>
              <w:t>月2</w:t>
            </w:r>
            <w:r>
              <w:rPr>
                <w:rFonts w:hint="eastAsia"/>
                <w:b/>
                <w:bCs/>
                <w:lang w:val="en-US" w:eastAsia="zh-CN"/>
              </w:rPr>
              <w:t>4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332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</w:tcBorders>
          </w:tcPr>
          <w:p>
            <w:pPr>
              <w:spacing w:line="240" w:lineRule="auto"/>
            </w:pPr>
            <w:r>
              <w:rPr>
                <w:rFonts w:hint="eastAsia"/>
              </w:rPr>
              <w:t>初赛评审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tcBorders>
              <w:left w:val="nil"/>
              <w:bottom w:val="single" w:color="auto" w:sz="12" w:space="0"/>
              <w:right w:val="nil"/>
            </w:tcBorders>
            <w:shd w:val="clear" w:color="auto" w:fill="FFFFFF" w:themeFill="background1"/>
          </w:tcPr>
          <w:p>
            <w:pPr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  <w:lang w:val="en-US" w:eastAsia="zh-CN"/>
              </w:rPr>
              <w:t>21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  <w:lang w:val="en-US" w:eastAsia="zh-CN"/>
              </w:rPr>
              <w:t>12</w:t>
            </w:r>
            <w:r>
              <w:rPr>
                <w:rFonts w:hint="eastAsia"/>
                <w:b/>
                <w:bCs/>
              </w:rPr>
              <w:t>月2</w:t>
            </w:r>
            <w:r>
              <w:rPr>
                <w:rFonts w:hint="eastAsia"/>
                <w:b/>
                <w:bCs/>
                <w:lang w:val="en-US" w:eastAsia="zh-CN"/>
              </w:rPr>
              <w:t>4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332" w:type="dxa"/>
            <w:tcBorders>
              <w:bottom w:val="single" w:color="auto" w:sz="12" w:space="0"/>
              <w:right w:val="nil"/>
            </w:tcBorders>
          </w:tcPr>
          <w:p>
            <w:pPr>
              <w:spacing w:line="240" w:lineRule="auto"/>
            </w:pPr>
            <w:r>
              <w:rPr>
                <w:rFonts w:hint="eastAsia"/>
              </w:rPr>
              <w:t>公布晋级决赛名单</w:t>
            </w:r>
          </w:p>
        </w:tc>
      </w:tr>
    </w:tbl>
    <w:p>
      <w:pPr>
        <w:rPr>
          <w:b/>
        </w:rPr>
      </w:pPr>
    </w:p>
    <w:p>
      <w:pPr>
        <w:ind w:firstLine="480"/>
        <w:rPr>
          <w:rFonts w:ascii="宋体" w:hAnsi="宋体" w:cs="宋体"/>
          <w:b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bidi="ar"/>
        </w:rPr>
        <w:t>第二阶段 决赛</w:t>
      </w:r>
    </w:p>
    <w:p>
      <w:pPr>
        <w:jc w:val="center"/>
      </w:pPr>
      <w:r>
        <w:rPr>
          <w:rFonts w:hint="eastAsia"/>
        </w:rPr>
        <w:t>决赛日程安排</w:t>
      </w:r>
    </w:p>
    <w:tbl>
      <w:tblPr>
        <w:tblStyle w:val="10"/>
        <w:tblW w:w="0" w:type="auto"/>
        <w:tblInd w:w="0" w:type="dxa"/>
        <w:tblBorders>
          <w:top w:val="single" w:color="C8C8C8" w:themeColor="accent3" w:themeTint="99" w:sz="4" w:space="0"/>
          <w:left w:val="single" w:color="C8C8C8" w:themeColor="accent3" w:themeTint="99" w:sz="4" w:space="0"/>
          <w:bottom w:val="single" w:color="C8C8C8" w:themeColor="accent3" w:themeTint="99" w:sz="4" w:space="0"/>
          <w:right w:val="single" w:color="C8C8C8" w:themeColor="accent3" w:themeTint="99" w:sz="4" w:space="0"/>
          <w:insideH w:val="single" w:color="C8C8C8" w:themeColor="accent3" w:themeTint="99" w:sz="4" w:space="0"/>
          <w:insideV w:val="single" w:color="C8C8C8" w:themeColor="accent3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12" w:space="0"/>
              <w:left w:val="single" w:color="A5A5A5" w:themeColor="accent3" w:sz="4" w:space="0"/>
              <w:bottom w:val="single" w:color="auto" w:sz="12" w:space="0"/>
              <w:right w:val="nil"/>
              <w:insideV w:val="nil"/>
            </w:tcBorders>
            <w:shd w:val="clear" w:color="auto" w:fill="A5A5A5" w:themeFill="accent3"/>
          </w:tcPr>
          <w:p>
            <w:pPr>
              <w:spacing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时间</w:t>
            </w:r>
          </w:p>
        </w:tc>
        <w:tc>
          <w:tcPr>
            <w:tcW w:w="4148" w:type="dxa"/>
            <w:tcBorders>
              <w:top w:val="single" w:color="auto" w:sz="12" w:space="0"/>
              <w:bottom w:val="single" w:color="auto" w:sz="12" w:space="0"/>
              <w:right w:val="single" w:color="A5A5A5" w:themeColor="accent3" w:sz="4" w:space="0"/>
              <w:insideV w:val="nil"/>
            </w:tcBorders>
            <w:shd w:val="clear" w:color="auto" w:fill="A5A5A5" w:themeFill="accent3"/>
          </w:tcPr>
          <w:p>
            <w:pPr>
              <w:spacing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大赛进程</w:t>
            </w: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12" w:space="0"/>
            </w:tcBorders>
            <w:shd w:val="clear" w:color="auto" w:fill="ECECEC" w:themeFill="accent3" w:themeFillTint="33"/>
          </w:tcPr>
          <w:p>
            <w:pPr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  <w:lang w:val="en-US" w:eastAsia="zh-CN"/>
              </w:rPr>
              <w:t>21</w:t>
            </w:r>
            <w:r>
              <w:rPr>
                <w:rFonts w:hint="eastAsia"/>
                <w:b/>
                <w:bCs/>
              </w:rPr>
              <w:t>年1</w:t>
            </w:r>
            <w:r>
              <w:rPr>
                <w:rFonts w:hint="eastAsia"/>
                <w:b/>
                <w:bCs/>
                <w:lang w:val="en-US" w:eastAsia="zh-CN"/>
              </w:rPr>
              <w:t>2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>2</w:t>
            </w:r>
            <w:r>
              <w:rPr>
                <w:rFonts w:hint="eastAsia"/>
                <w:b/>
                <w:bCs/>
                <w:lang w:val="en-US" w:eastAsia="zh-CN"/>
              </w:rPr>
              <w:t>5</w:t>
            </w:r>
            <w:r>
              <w:rPr>
                <w:rFonts w:hint="eastAsia"/>
                <w:b/>
                <w:bCs/>
              </w:rPr>
              <w:t>日至</w:t>
            </w:r>
            <w:r>
              <w:rPr>
                <w:rFonts w:hint="eastAsia"/>
                <w:b/>
                <w:bCs/>
                <w:lang w:val="en-US" w:eastAsia="zh-CN"/>
              </w:rPr>
              <w:t>12</w:t>
            </w:r>
            <w:r>
              <w:rPr>
                <w:rFonts w:hint="eastAsia"/>
                <w:b/>
                <w:bCs/>
              </w:rPr>
              <w:t>月2</w:t>
            </w:r>
            <w:r>
              <w:rPr>
                <w:rFonts w:hint="eastAsia"/>
                <w:b/>
                <w:bCs/>
                <w:lang w:val="en-US" w:eastAsia="zh-CN"/>
              </w:rPr>
              <w:t>9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148" w:type="dxa"/>
            <w:tcBorders>
              <w:top w:val="single" w:color="auto" w:sz="12" w:space="0"/>
            </w:tcBorders>
            <w:shd w:val="clear" w:color="auto" w:fill="ECECEC" w:themeFill="accent3" w:themeFillTint="33"/>
          </w:tcPr>
          <w:p>
            <w:pPr>
              <w:spacing w:line="240" w:lineRule="auto"/>
            </w:pPr>
            <w:r>
              <w:rPr>
                <w:rFonts w:hint="eastAsia"/>
              </w:rPr>
              <w:t>决赛参赛选手准备答辩</w:t>
            </w: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  <w:lang w:val="en-US" w:eastAsia="zh-CN"/>
              </w:rPr>
              <w:t>21</w:t>
            </w:r>
            <w:r>
              <w:rPr>
                <w:rFonts w:hint="eastAsia"/>
                <w:b/>
                <w:bCs/>
              </w:rPr>
              <w:t>年1</w:t>
            </w:r>
            <w:r>
              <w:rPr>
                <w:rFonts w:hint="eastAsia"/>
                <w:b/>
                <w:bCs/>
                <w:lang w:val="en-US" w:eastAsia="zh-CN"/>
              </w:rPr>
              <w:t>2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  <w:lang w:val="en-US" w:eastAsia="zh-CN"/>
              </w:rPr>
              <w:t>30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148" w:type="dxa"/>
          </w:tcPr>
          <w:p>
            <w:pPr>
              <w:spacing w:line="240" w:lineRule="auto"/>
            </w:pPr>
            <w:r>
              <w:rPr>
                <w:rFonts w:hint="eastAsia"/>
              </w:rPr>
              <w:t>决赛答辩</w:t>
            </w: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</w:tblPrEx>
        <w:tc>
          <w:tcPr>
            <w:tcW w:w="4148" w:type="dxa"/>
            <w:tcBorders>
              <w:bottom w:val="single" w:color="auto" w:sz="12" w:space="0"/>
            </w:tcBorders>
            <w:shd w:val="clear" w:color="auto" w:fill="ECECEC" w:themeFill="accent3" w:themeFillTint="33"/>
          </w:tcPr>
          <w:p>
            <w:pPr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  <w:lang w:val="en-US" w:eastAsia="zh-CN"/>
              </w:rPr>
              <w:t>21</w:t>
            </w:r>
            <w:r>
              <w:rPr>
                <w:rFonts w:hint="eastAsia"/>
                <w:b/>
                <w:bCs/>
              </w:rPr>
              <w:t>年1</w:t>
            </w:r>
            <w:r>
              <w:rPr>
                <w:rFonts w:hint="eastAsia"/>
                <w:b/>
                <w:bCs/>
                <w:lang w:val="en-US" w:eastAsia="zh-CN"/>
              </w:rPr>
              <w:t>2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  <w:lang w:val="en-US" w:eastAsia="zh-CN"/>
              </w:rPr>
              <w:t>30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148" w:type="dxa"/>
            <w:tcBorders>
              <w:bottom w:val="single" w:color="auto" w:sz="12" w:space="0"/>
            </w:tcBorders>
            <w:shd w:val="clear" w:color="auto" w:fill="ECECEC" w:themeFill="accent3" w:themeFillTint="33"/>
          </w:tcPr>
          <w:p>
            <w:pPr>
              <w:spacing w:line="240" w:lineRule="auto"/>
            </w:pPr>
            <w:r>
              <w:rPr>
                <w:rFonts w:hint="eastAsia"/>
              </w:rPr>
              <w:t>公布获奖选手并举行闭幕式</w:t>
            </w:r>
          </w:p>
        </w:tc>
      </w:tr>
    </w:tbl>
    <w:p>
      <w:bookmarkStart w:id="0" w:name="_GoBack"/>
      <w:bookmarkEnd w:id="0"/>
    </w:p>
    <w:p>
      <w:pPr>
        <w:spacing w:line="48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bidi="ar"/>
        </w:rPr>
        <w:t>五、奖项设置</w:t>
      </w:r>
    </w:p>
    <w:tbl>
      <w:tblPr>
        <w:tblStyle w:val="10"/>
        <w:tblW w:w="0" w:type="auto"/>
        <w:tblInd w:w="0" w:type="dxa"/>
        <w:tblBorders>
          <w:top w:val="single" w:color="C8C8C8" w:themeColor="accent3" w:themeTint="99" w:sz="4" w:space="0"/>
          <w:left w:val="single" w:color="C8C8C8" w:themeColor="accent3" w:themeTint="99" w:sz="4" w:space="0"/>
          <w:bottom w:val="single" w:color="C8C8C8" w:themeColor="accent3" w:themeTint="99" w:sz="4" w:space="0"/>
          <w:right w:val="single" w:color="C8C8C8" w:themeColor="accent3" w:themeTint="99" w:sz="4" w:space="0"/>
          <w:insideH w:val="single" w:color="C8C8C8" w:themeColor="accent3" w:themeTint="99" w:sz="4" w:space="0"/>
          <w:insideV w:val="single" w:color="C8C8C8" w:themeColor="accent3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5466"/>
      </w:tblGrid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12" w:space="0"/>
              <w:left w:val="single" w:color="A5A5A5" w:themeColor="accent3" w:sz="4" w:space="0"/>
              <w:bottom w:val="single" w:color="auto" w:sz="12" w:space="0"/>
              <w:right w:val="nil"/>
              <w:insideV w:val="nil"/>
            </w:tcBorders>
            <w:shd w:val="clear" w:color="auto" w:fill="A5A5A5" w:themeFill="accent3"/>
          </w:tcPr>
          <w:p>
            <w:pPr>
              <w:spacing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奖项</w:t>
            </w:r>
          </w:p>
        </w:tc>
        <w:tc>
          <w:tcPr>
            <w:tcW w:w="5466" w:type="dxa"/>
            <w:tcBorders>
              <w:top w:val="single" w:color="auto" w:sz="12" w:space="0"/>
              <w:bottom w:val="single" w:color="auto" w:sz="12" w:space="0"/>
              <w:right w:val="single" w:color="A5A5A5" w:themeColor="accent3" w:sz="4" w:space="0"/>
              <w:insideV w:val="nil"/>
            </w:tcBorders>
            <w:shd w:val="clear" w:color="auto" w:fill="A5A5A5" w:themeFill="accent3"/>
          </w:tcPr>
          <w:p>
            <w:pPr>
              <w:spacing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奖品</w:t>
            </w: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12" w:space="0"/>
            </w:tcBorders>
            <w:shd w:val="clear" w:color="auto" w:fill="ECECEC" w:themeFill="accent3" w:themeFillTint="33"/>
          </w:tcPr>
          <w:p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一等奖</w:t>
            </w:r>
          </w:p>
        </w:tc>
        <w:tc>
          <w:tcPr>
            <w:tcW w:w="5466" w:type="dxa"/>
            <w:tcBorders>
              <w:top w:val="single" w:color="auto" w:sz="12" w:space="0"/>
            </w:tcBorders>
            <w:shd w:val="clear" w:color="auto" w:fill="ECECEC" w:themeFill="accent3" w:themeFillTint="33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一等奖荣誉证书</w:t>
            </w: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二等奖</w:t>
            </w:r>
          </w:p>
        </w:tc>
        <w:tc>
          <w:tcPr>
            <w:tcW w:w="5466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二等奖荣誉证书</w:t>
            </w: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bottom w:val="single" w:color="auto" w:sz="12" w:space="0"/>
            </w:tcBorders>
            <w:shd w:val="clear" w:color="auto" w:fill="ECECEC" w:themeFill="accent3" w:themeFillTint="33"/>
          </w:tcPr>
          <w:p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三等奖</w:t>
            </w:r>
          </w:p>
        </w:tc>
        <w:tc>
          <w:tcPr>
            <w:tcW w:w="5466" w:type="dxa"/>
            <w:tcBorders>
              <w:bottom w:val="single" w:color="auto" w:sz="12" w:space="0"/>
            </w:tcBorders>
            <w:shd w:val="clear" w:color="auto" w:fill="ECECEC" w:themeFill="accent3" w:themeFillTint="33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三等奖荣誉证书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EE"/>
    <w:rsid w:val="000C17B4"/>
    <w:rsid w:val="000C76D6"/>
    <w:rsid w:val="00181689"/>
    <w:rsid w:val="001847E7"/>
    <w:rsid w:val="002165D1"/>
    <w:rsid w:val="00241656"/>
    <w:rsid w:val="00255239"/>
    <w:rsid w:val="00273486"/>
    <w:rsid w:val="002B5F9C"/>
    <w:rsid w:val="002E75EE"/>
    <w:rsid w:val="00383278"/>
    <w:rsid w:val="003B6A95"/>
    <w:rsid w:val="003D0F50"/>
    <w:rsid w:val="004D220C"/>
    <w:rsid w:val="004D5F14"/>
    <w:rsid w:val="005105FE"/>
    <w:rsid w:val="00540CD8"/>
    <w:rsid w:val="00564394"/>
    <w:rsid w:val="0057030A"/>
    <w:rsid w:val="005976B2"/>
    <w:rsid w:val="0061370D"/>
    <w:rsid w:val="00652056"/>
    <w:rsid w:val="006A6985"/>
    <w:rsid w:val="00714340"/>
    <w:rsid w:val="007E3367"/>
    <w:rsid w:val="00811C5F"/>
    <w:rsid w:val="0084744A"/>
    <w:rsid w:val="008A3BEB"/>
    <w:rsid w:val="008C0841"/>
    <w:rsid w:val="008F2770"/>
    <w:rsid w:val="00905297"/>
    <w:rsid w:val="00923D40"/>
    <w:rsid w:val="00970A7D"/>
    <w:rsid w:val="009859FA"/>
    <w:rsid w:val="009A3517"/>
    <w:rsid w:val="009B215F"/>
    <w:rsid w:val="009D2DE0"/>
    <w:rsid w:val="009F3327"/>
    <w:rsid w:val="00A041D8"/>
    <w:rsid w:val="00AA626C"/>
    <w:rsid w:val="00B17829"/>
    <w:rsid w:val="00B8247A"/>
    <w:rsid w:val="00BA5946"/>
    <w:rsid w:val="00C179F4"/>
    <w:rsid w:val="00C30343"/>
    <w:rsid w:val="00C34C32"/>
    <w:rsid w:val="00C95E70"/>
    <w:rsid w:val="00D4386D"/>
    <w:rsid w:val="00E928DB"/>
    <w:rsid w:val="00F24EB8"/>
    <w:rsid w:val="00FB6D2E"/>
    <w:rsid w:val="00FF7335"/>
    <w:rsid w:val="7747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customStyle="1" w:styleId="9">
    <w:name w:val="清单表 3 - 着色 31"/>
    <w:basedOn w:val="4"/>
    <w:qFormat/>
    <w:uiPriority w:val="48"/>
    <w:pPr>
      <w:spacing w:line="240" w:lineRule="auto"/>
    </w:pPr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table" w:customStyle="1" w:styleId="10">
    <w:name w:val="网格表 4 - 着色 31"/>
    <w:basedOn w:val="4"/>
    <w:qFormat/>
    <w:uiPriority w:val="49"/>
    <w:pPr>
      <w:spacing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character" w:customStyle="1" w:styleId="11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1001</Characters>
  <Lines>8</Lines>
  <Paragraphs>2</Paragraphs>
  <TotalTime>1</TotalTime>
  <ScaleCrop>false</ScaleCrop>
  <LinksUpToDate>false</LinksUpToDate>
  <CharactersWithSpaces>1174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2019-11-02T05:58:00Z</dcterms:created>
  <dc:creator>郭 猛</dc:creator>
  <cp:lastModifiedBy>周志翔</cp:lastModifiedBy>
  <dcterms:modified xsi:type="dcterms:W3CDTF">2021-12-14T07:23:04Z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396B02337B024854BC90FCDE03681246</vt:lpwstr>
  </property>
</Properties>
</file>